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952975">
      <w:r>
        <w:rPr>
          <w:noProof/>
          <w:lang w:val="en-US"/>
        </w:rPr>
        <w:pict>
          <v:rect id="_x0000_s1089" style="position:absolute;margin-left:40.4pt;margin-top:-49.2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rsidP="00204A3F">
                  <w:pPr>
                    <w:jc w:val="center"/>
                    <w:rPr>
                      <w:color w:val="FFFFFF"/>
                      <w:sz w:val="48"/>
                      <w:szCs w:val="52"/>
                    </w:rPr>
                  </w:pPr>
                  <w:r>
                    <w:rPr>
                      <w:sz w:val="52"/>
                      <w:szCs w:val="52"/>
                      <w:lang w:val="en-US"/>
                    </w:rPr>
                    <w:t>201</w:t>
                  </w:r>
                  <w:r w:rsidR="00204A3F">
                    <w:rPr>
                      <w:sz w:val="52"/>
                      <w:szCs w:val="52"/>
                      <w:lang w:val="en-US"/>
                    </w:rPr>
                    <w:t>7</w:t>
                  </w:r>
                </w:p>
              </w:txbxContent>
            </v:textbox>
          </v:rect>
        </w:pict>
      </w:r>
      <w:r>
        <w:rPr>
          <w:noProof/>
          <w:lang w:val="en-US"/>
        </w:rPr>
        <w:pict>
          <v:rect id="_x0000_s1107" style="position:absolute;margin-left:-71.55pt;margin-top:-78.25pt;width:148.65pt;height:851.45pt;z-index:251652095" fillcolor="#eeece1 [3214]">
            <v:fill color2="#fcfcf9"/>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sdt>
                  <w:sdtPr>
                    <w:rPr>
                      <w:sz w:val="44"/>
                      <w:szCs w:val="44"/>
                    </w:rPr>
                    <w:alias w:val="Title"/>
                    <w:id w:val="320084081"/>
                    <w:placeholder>
                      <w:docPart w:val="E0D0E89B2EC54A3FBB9A4F13C6D72E12"/>
                    </w:placeholder>
                    <w:dataBinding w:prefixMappings="xmlns:ns0='http://purl.org/dc/elements/1.1/' xmlns:ns1='http://schemas.openxmlformats.org/package/2006/metadata/core-properties' " w:xpath="/ns1:coreProperties[1]/ns0:title[1]" w:storeItemID="{6C3C8BC8-F283-45AE-878A-BAB7291924A1}"/>
                    <w:text/>
                  </w:sdtPr>
                  <w:sdtContent>
                    <w:p w:rsidR="00F03B79" w:rsidRPr="00700815" w:rsidRDefault="008C1592" w:rsidP="00F03B79">
                      <w:pPr>
                        <w:pStyle w:val="NoSpacing"/>
                        <w:rPr>
                          <w:sz w:val="44"/>
                          <w:szCs w:val="44"/>
                        </w:rPr>
                      </w:pPr>
                      <w:r>
                        <w:rPr>
                          <w:sz w:val="44"/>
                          <w:szCs w:val="44"/>
                          <w:lang w:val="en-MY"/>
                        </w:rPr>
                        <w:t>ENHANCING SHAREHOLDER VALUE – WHAT, HOW? Performance, Management Quality, Corporate Exercises, Shareholder Activists’ Demands</w:t>
                      </w:r>
                    </w:p>
                  </w:sdtContent>
                </w:sdt>
                <w:p w:rsidR="00696AB3" w:rsidRDefault="00696AB3">
                  <w:pPr>
                    <w:pStyle w:val="NoSpacing"/>
                    <w:rPr>
                      <w:color w:val="FFFFFF"/>
                    </w:rPr>
                  </w:pPr>
                </w:p>
                <w:p w:rsidR="008B4B1E" w:rsidRPr="00696AB3" w:rsidRDefault="008B4B1E">
                  <w:pPr>
                    <w:pStyle w:val="NoSpacing"/>
                    <w:rPr>
                      <w:color w:val="FFFFFF"/>
                    </w:rPr>
                  </w:pPr>
                </w:p>
                <w:p w:rsidR="008A14D2" w:rsidRDefault="008A14D2" w:rsidP="008A14D2">
                  <w:pPr>
                    <w:pStyle w:val="NoSpacing"/>
                    <w:jc w:val="both"/>
                  </w:pPr>
                  <w:r>
                    <w:t xml:space="preserve">Enhancing shareholder value is key and uppermost in the mind of the management who manages a public listed entity as obviously this is what shareholders are interested in. What exactly is meant by shareholder value and how do companies enhance it? Shareholders certainly want their investee companies to enhance the value of their shareholdings in the companies. It is thus of utmost importance that both shareholders and their companies have the common understanding of shareholder value and how the companies can enhance the value.  </w:t>
                  </w:r>
                </w:p>
                <w:p w:rsidR="008A14D2" w:rsidRDefault="008A14D2" w:rsidP="008A14D2">
                  <w:pPr>
                    <w:pStyle w:val="NoSpacing"/>
                    <w:jc w:val="both"/>
                  </w:pPr>
                </w:p>
                <w:p w:rsidR="00696AB3" w:rsidRPr="00696AB3" w:rsidRDefault="008A14D2" w:rsidP="008A14D2">
                  <w:pPr>
                    <w:pStyle w:val="NoSpacing"/>
                    <w:jc w:val="both"/>
                    <w:rPr>
                      <w:color w:val="FFFFFF"/>
                    </w:rPr>
                  </w:pPr>
                  <w:r>
                    <w:t>From the shareholders’ perspective, total shareholder return is key. Companies need to know the perception and expectations of shareholders and what are the key issues and questions they are interested in. These will drive the companies to embark on the various options to enhance shareholder value.</w:t>
                  </w:r>
                </w:p>
              </w:txbxContent>
            </v:textbox>
          </v:rect>
        </w:pict>
      </w:r>
    </w:p>
    <w:p w:rsidR="00696AB3" w:rsidRDefault="00696AB3"/>
    <w:p w:rsidR="00D35263" w:rsidRDefault="00952975">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952975">
      <w:r w:rsidRPr="00952975">
        <w:rPr>
          <w:rFonts w:asciiTheme="minorHAnsi" w:hAnsiTheme="minorHAnsi"/>
          <w:noProof/>
          <w:lang w:val="en-US"/>
        </w:rPr>
        <w:lastRenderedPageBreak/>
        <w:pict>
          <v:roundrect id="_x0000_s1049" style="position:absolute;margin-left:259.3pt;margin-top:8.65pt;width:150.55pt;height:23.4pt;z-index:-251653120" arcsize="10923f">
            <v:shadow on="t" offset="3pt" offset2="2pt"/>
            <v:textbox>
              <w:txbxContent>
                <w:p w:rsidR="00B93281" w:rsidRPr="00B93281" w:rsidRDefault="00342A8B">
                  <w:pPr>
                    <w:rPr>
                      <w:rFonts w:asciiTheme="minorHAnsi" w:hAnsiTheme="minorHAnsi"/>
                    </w:rPr>
                  </w:pPr>
                  <w:r>
                    <w:rPr>
                      <w:rFonts w:asciiTheme="minorHAnsi" w:hAnsiTheme="minorHAnsi"/>
                    </w:rPr>
                    <w:t>COURSE CONTENT</w:t>
                  </w:r>
                </w:p>
              </w:txbxContent>
            </v:textbox>
          </v:roundrect>
        </w:pict>
      </w:r>
      <w:r w:rsidRPr="00952975">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342A8B">
                  <w:pPr>
                    <w:rPr>
                      <w:rFonts w:asciiTheme="minorHAnsi" w:hAnsiTheme="minorHAnsi"/>
                    </w:rPr>
                  </w:pPr>
                  <w:r>
                    <w:rPr>
                      <w:rFonts w:asciiTheme="minorHAnsi" w:hAnsiTheme="minorHAnsi"/>
                    </w:rPr>
                    <w:t>COURSE OBJECTIVE</w:t>
                  </w:r>
                </w:p>
              </w:txbxContent>
            </v:textbox>
          </v:roundrect>
        </w:pict>
      </w:r>
    </w:p>
    <w:p w:rsidR="00B26841" w:rsidRPr="00B26841" w:rsidRDefault="00B26841" w:rsidP="003F6F40">
      <w:pPr>
        <w:rPr>
          <w:rFonts w:asciiTheme="minorHAnsi" w:hAnsiTheme="minorHAnsi"/>
        </w:rPr>
        <w:sectPr w:rsidR="00B26841" w:rsidRPr="00B26841" w:rsidSect="00086C2F">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8A14D2" w:rsidRPr="008A14D2" w:rsidRDefault="008A14D2" w:rsidP="008A14D2">
      <w:pPr>
        <w:jc w:val="both"/>
        <w:rPr>
          <w:rFonts w:asciiTheme="minorHAnsi" w:hAnsiTheme="minorHAnsi"/>
          <w:sz w:val="20"/>
        </w:rPr>
      </w:pPr>
      <w:r w:rsidRPr="008A14D2">
        <w:rPr>
          <w:rFonts w:asciiTheme="minorHAnsi" w:hAnsiTheme="minorHAnsi"/>
          <w:sz w:val="20"/>
        </w:rPr>
        <w:t xml:space="preserve">Enhancing shareholder value is key and uppermost in the mind of the management who manages a public listed entity as obviously this is what shareholders are interested in. What exactly is meant by shareholder value and how do companies enhance it? Shareholders certainly want their investee companies to enhance the value of their shareholdings in the companies. It is thus of utmost importance that both shareholders and their companies have the common understanding of shareholder value and how the companies can enhance the value.  </w:t>
      </w:r>
    </w:p>
    <w:p w:rsidR="008A14D2" w:rsidRPr="008A14D2" w:rsidRDefault="008A14D2" w:rsidP="008A14D2">
      <w:pPr>
        <w:jc w:val="both"/>
        <w:rPr>
          <w:rFonts w:asciiTheme="minorHAnsi" w:hAnsiTheme="minorHAnsi"/>
          <w:sz w:val="20"/>
        </w:rPr>
      </w:pPr>
    </w:p>
    <w:p w:rsidR="00342A8B" w:rsidRDefault="008A14D2" w:rsidP="008A14D2">
      <w:pPr>
        <w:jc w:val="both"/>
        <w:rPr>
          <w:rFonts w:asciiTheme="minorHAnsi" w:hAnsiTheme="minorHAnsi"/>
          <w:sz w:val="20"/>
        </w:rPr>
      </w:pPr>
      <w:r w:rsidRPr="008A14D2">
        <w:rPr>
          <w:rFonts w:asciiTheme="minorHAnsi" w:hAnsiTheme="minorHAnsi"/>
          <w:sz w:val="20"/>
        </w:rPr>
        <w:t>From the shareholders’ perspective, total shareholder return is key. Companies need to know the perception and expectations of shareholders and what are the key issues and questions they are interested in. These will drive the companies to embark on the various options to enhance shareholder value.</w:t>
      </w:r>
    </w:p>
    <w:p w:rsidR="008A14D2" w:rsidRDefault="008A14D2" w:rsidP="003F6F40">
      <w:pPr>
        <w:rPr>
          <w:rFonts w:asciiTheme="minorHAnsi" w:hAnsiTheme="minorHAnsi"/>
          <w:sz w:val="20"/>
        </w:rPr>
      </w:pPr>
    </w:p>
    <w:p w:rsidR="008A14D2" w:rsidRDefault="00952975" w:rsidP="003F6F40">
      <w:pPr>
        <w:rPr>
          <w:rFonts w:asciiTheme="minorHAnsi" w:hAnsiTheme="minorHAnsi"/>
          <w:sz w:val="20"/>
        </w:rPr>
      </w:pPr>
      <w:r>
        <w:rPr>
          <w:rFonts w:asciiTheme="minorHAnsi" w:hAnsiTheme="minorHAnsi"/>
          <w:noProof/>
          <w:sz w:val="20"/>
          <w:lang w:val="en-US"/>
        </w:rPr>
        <w:pict>
          <v:roundrect id="_x0000_s1144" style="position:absolute;margin-left:-6.8pt;margin-top:6.2pt;width:150.55pt;height:23.4pt;z-index:-251565056" arcsize="10923f">
            <v:shadow on="t" offset="3pt" offset2="2pt"/>
            <v:textbox>
              <w:txbxContent>
                <w:p w:rsidR="008A14D2" w:rsidRPr="00B93281" w:rsidRDefault="008A14D2" w:rsidP="008A14D2">
                  <w:pPr>
                    <w:rPr>
                      <w:rFonts w:asciiTheme="minorHAnsi" w:hAnsiTheme="minorHAnsi"/>
                    </w:rPr>
                  </w:pPr>
                  <w:r>
                    <w:rPr>
                      <w:rFonts w:asciiTheme="minorHAnsi" w:hAnsiTheme="minorHAnsi"/>
                    </w:rPr>
                    <w:t>COURSE OBJECTIVE</w:t>
                  </w:r>
                </w:p>
              </w:txbxContent>
            </v:textbox>
          </v:roundrect>
        </w:pict>
      </w:r>
    </w:p>
    <w:p w:rsidR="008A14D2" w:rsidRDefault="008A14D2" w:rsidP="003F6F40">
      <w:pPr>
        <w:rPr>
          <w:rFonts w:asciiTheme="minorHAnsi" w:hAnsiTheme="minorHAnsi"/>
          <w:sz w:val="20"/>
        </w:rPr>
      </w:pPr>
    </w:p>
    <w:p w:rsidR="008A14D2" w:rsidRDefault="008A14D2" w:rsidP="008A14D2">
      <w:pPr>
        <w:jc w:val="both"/>
        <w:rPr>
          <w:rFonts w:asciiTheme="minorHAnsi" w:hAnsiTheme="minorHAnsi"/>
          <w:sz w:val="20"/>
        </w:rPr>
      </w:pPr>
    </w:p>
    <w:p w:rsidR="008A14D2" w:rsidRPr="008A14D2" w:rsidRDefault="008A14D2" w:rsidP="008A14D2">
      <w:pPr>
        <w:jc w:val="both"/>
        <w:rPr>
          <w:rFonts w:asciiTheme="minorHAnsi" w:hAnsiTheme="minorHAnsi"/>
          <w:sz w:val="20"/>
        </w:rPr>
      </w:pPr>
      <w:r w:rsidRPr="008A14D2">
        <w:rPr>
          <w:rFonts w:asciiTheme="minorHAnsi" w:hAnsiTheme="minorHAnsi"/>
          <w:sz w:val="20"/>
        </w:rPr>
        <w:t>The topic is designed to not only provide a better understanding of what is meant by enhancing shareholder value but also to explore the various ways of achieving it. The various ways require a company having, amongst others, a quality management, good strategies and execution, strong fundamentals and financial performance, strong investor relations and the implementation of some relevant corporate exercises. Participants will also get to understand the implications from the various options.</w:t>
      </w:r>
    </w:p>
    <w:p w:rsidR="008A14D2" w:rsidRPr="008A14D2" w:rsidRDefault="008A14D2" w:rsidP="008A14D2">
      <w:pPr>
        <w:jc w:val="both"/>
        <w:rPr>
          <w:rFonts w:asciiTheme="minorHAnsi" w:hAnsiTheme="minorHAnsi"/>
          <w:sz w:val="20"/>
        </w:rPr>
      </w:pPr>
    </w:p>
    <w:p w:rsidR="008A14D2" w:rsidRDefault="008A14D2" w:rsidP="008A14D2">
      <w:pPr>
        <w:jc w:val="both"/>
        <w:rPr>
          <w:rFonts w:asciiTheme="minorHAnsi" w:hAnsiTheme="minorHAnsi"/>
          <w:sz w:val="20"/>
        </w:rPr>
      </w:pPr>
      <w:r w:rsidRPr="008A14D2">
        <w:rPr>
          <w:rFonts w:asciiTheme="minorHAnsi" w:hAnsiTheme="minorHAnsi"/>
          <w:sz w:val="20"/>
        </w:rPr>
        <w:t>Companies also need to understand the perception and expectations of shareholders and the key issues and questions of interest to shareholders. These will drive companies to carry out the necessary actions in the interest of shareholders with the ultimate objective of enhancing shareholder value. There have also been increasing shareholder activists’ demands particularly in the developed countries and companies cannot ill-afford to ignore them. Examples of shareholder activists’ demands which resulted in the enhancement of shareholder value will be showcased.</w:t>
      </w:r>
    </w:p>
    <w:p w:rsidR="008A14D2" w:rsidRDefault="008A14D2" w:rsidP="003F6F40">
      <w:pPr>
        <w:rPr>
          <w:rFonts w:asciiTheme="minorHAnsi" w:hAnsiTheme="minorHAnsi"/>
          <w:sz w:val="20"/>
        </w:rPr>
      </w:pPr>
    </w:p>
    <w:p w:rsidR="008A14D2" w:rsidRDefault="00952975" w:rsidP="003F6F40">
      <w:pPr>
        <w:rPr>
          <w:rFonts w:asciiTheme="minorHAnsi" w:hAnsiTheme="minorHAnsi"/>
          <w:sz w:val="20"/>
        </w:rPr>
      </w:pPr>
      <w:r w:rsidRPr="00952975">
        <w:rPr>
          <w:rFonts w:asciiTheme="minorHAnsi" w:hAnsiTheme="minorHAnsi"/>
          <w:noProof/>
          <w:lang w:val="en-US"/>
        </w:rPr>
        <w:pict>
          <v:roundrect id="_x0000_s1050" style="position:absolute;margin-left:-6.8pt;margin-top:5pt;width:150.55pt;height:23.4pt;z-index:-251652096" arcsize="10923f">
            <v:shadow on="t" offset="3pt" offset2="2pt"/>
            <v:textbox>
              <w:txbxContent>
                <w:p w:rsidR="00B374FE" w:rsidRPr="00B374FE" w:rsidRDefault="009F2E1F" w:rsidP="00B374FE">
                  <w:pPr>
                    <w:rPr>
                      <w:rFonts w:asciiTheme="minorHAnsi" w:hAnsiTheme="minorHAnsi"/>
                    </w:rPr>
                  </w:pPr>
                  <w:r>
                    <w:rPr>
                      <w:rFonts w:asciiTheme="minorHAnsi" w:hAnsiTheme="minorHAnsi"/>
                    </w:rPr>
                    <w:t>METHODOLOGY</w:t>
                  </w:r>
                </w:p>
              </w:txbxContent>
            </v:textbox>
          </v:roundrect>
        </w:pict>
      </w:r>
    </w:p>
    <w:p w:rsidR="008A14D2" w:rsidRDefault="008A14D2" w:rsidP="003F6F40">
      <w:pPr>
        <w:rPr>
          <w:rFonts w:asciiTheme="minorHAnsi" w:hAnsiTheme="minorHAnsi"/>
          <w:sz w:val="20"/>
        </w:rPr>
      </w:pPr>
    </w:p>
    <w:p w:rsidR="008A14D2" w:rsidRDefault="008A14D2" w:rsidP="003F6F40">
      <w:pPr>
        <w:rPr>
          <w:rFonts w:asciiTheme="minorHAnsi" w:hAnsiTheme="minorHAnsi"/>
          <w:sz w:val="20"/>
        </w:rPr>
      </w:pPr>
    </w:p>
    <w:p w:rsidR="008A14D2" w:rsidRDefault="008A14D2" w:rsidP="008A14D2">
      <w:pPr>
        <w:jc w:val="both"/>
        <w:rPr>
          <w:rFonts w:asciiTheme="minorHAnsi" w:hAnsiTheme="minorHAnsi"/>
          <w:sz w:val="20"/>
        </w:rPr>
      </w:pPr>
      <w:r w:rsidRPr="009F2E1F">
        <w:rPr>
          <w:rFonts w:asciiTheme="minorHAnsi" w:hAnsiTheme="minorHAnsi"/>
          <w:sz w:val="20"/>
        </w:rPr>
        <w:t>Lectures facilitated by PowerPoint presentation and real examples and supplemented with videos, wherever applicable.</w:t>
      </w:r>
    </w:p>
    <w:p w:rsidR="008A14D2" w:rsidRDefault="008A14D2" w:rsidP="008A14D2">
      <w:pPr>
        <w:jc w:val="both"/>
        <w:rPr>
          <w:rFonts w:asciiTheme="minorHAnsi" w:hAnsiTheme="minorHAnsi"/>
          <w:sz w:val="20"/>
        </w:rPr>
      </w:pPr>
    </w:p>
    <w:p w:rsidR="008A14D2" w:rsidRDefault="008A14D2" w:rsidP="003F6F40">
      <w:pPr>
        <w:rPr>
          <w:rFonts w:asciiTheme="minorHAnsi" w:hAnsiTheme="minorHAnsi"/>
          <w:sz w:val="20"/>
        </w:rPr>
      </w:pPr>
    </w:p>
    <w:p w:rsidR="008A14D2" w:rsidRPr="008A14D2" w:rsidRDefault="008A14D2" w:rsidP="008A14D2">
      <w:pPr>
        <w:pStyle w:val="ListParagraph"/>
        <w:numPr>
          <w:ilvl w:val="0"/>
          <w:numId w:val="16"/>
        </w:numPr>
        <w:spacing w:after="0" w:line="240" w:lineRule="auto"/>
        <w:ind w:left="274" w:hanging="274"/>
        <w:rPr>
          <w:rFonts w:asciiTheme="minorHAnsi" w:hAnsiTheme="minorHAnsi"/>
          <w:sz w:val="20"/>
        </w:rPr>
      </w:pPr>
      <w:r w:rsidRPr="008A14D2">
        <w:rPr>
          <w:rFonts w:asciiTheme="minorHAnsi" w:hAnsiTheme="minorHAnsi"/>
          <w:sz w:val="20"/>
        </w:rPr>
        <w:t>Understanding shareholder value, shareholders’ perception and expectations</w:t>
      </w:r>
    </w:p>
    <w:p w:rsidR="008A14D2" w:rsidRPr="008A14D2" w:rsidRDefault="008A14D2" w:rsidP="008A14D2">
      <w:pPr>
        <w:pStyle w:val="ListParagraph"/>
        <w:numPr>
          <w:ilvl w:val="0"/>
          <w:numId w:val="16"/>
        </w:numPr>
        <w:spacing w:after="0" w:line="240" w:lineRule="auto"/>
        <w:ind w:left="274" w:hanging="274"/>
        <w:rPr>
          <w:rFonts w:asciiTheme="minorHAnsi" w:hAnsiTheme="minorHAnsi"/>
          <w:sz w:val="20"/>
        </w:rPr>
      </w:pPr>
      <w:r w:rsidRPr="008A14D2">
        <w:rPr>
          <w:rFonts w:asciiTheme="minorHAnsi" w:hAnsiTheme="minorHAnsi"/>
          <w:sz w:val="20"/>
        </w:rPr>
        <w:t>Key issues and questions of interest to investors</w:t>
      </w:r>
    </w:p>
    <w:p w:rsidR="008A14D2" w:rsidRPr="008A14D2" w:rsidRDefault="008A14D2" w:rsidP="008A14D2">
      <w:pPr>
        <w:pStyle w:val="ListParagraph"/>
        <w:numPr>
          <w:ilvl w:val="0"/>
          <w:numId w:val="16"/>
        </w:numPr>
        <w:spacing w:after="0" w:line="240" w:lineRule="auto"/>
        <w:ind w:left="274" w:hanging="274"/>
        <w:rPr>
          <w:rFonts w:asciiTheme="minorHAnsi" w:hAnsiTheme="minorHAnsi"/>
          <w:sz w:val="20"/>
        </w:rPr>
      </w:pPr>
      <w:r w:rsidRPr="008A14D2">
        <w:rPr>
          <w:rFonts w:asciiTheme="minorHAnsi" w:hAnsiTheme="minorHAnsi"/>
          <w:sz w:val="20"/>
        </w:rPr>
        <w:t>Corporate Exercises that Enhance Shareholder Value</w:t>
      </w:r>
    </w:p>
    <w:p w:rsidR="008A14D2" w:rsidRPr="008A14D2" w:rsidRDefault="008A14D2" w:rsidP="008A14D2">
      <w:pPr>
        <w:pStyle w:val="ListParagraph"/>
        <w:numPr>
          <w:ilvl w:val="0"/>
          <w:numId w:val="16"/>
        </w:numPr>
        <w:spacing w:after="0" w:line="240" w:lineRule="auto"/>
        <w:ind w:left="274" w:hanging="274"/>
        <w:rPr>
          <w:rFonts w:asciiTheme="minorHAnsi" w:hAnsiTheme="minorHAnsi"/>
          <w:sz w:val="20"/>
        </w:rPr>
      </w:pPr>
      <w:r w:rsidRPr="008A14D2">
        <w:rPr>
          <w:rFonts w:asciiTheme="minorHAnsi" w:hAnsiTheme="minorHAnsi"/>
          <w:sz w:val="20"/>
        </w:rPr>
        <w:t>Examples of Shareholder Activists’ Demands – Driving Value?</w:t>
      </w:r>
    </w:p>
    <w:p w:rsidR="008A14D2" w:rsidRDefault="008A14D2" w:rsidP="00B374FE">
      <w:pPr>
        <w:rPr>
          <w:rFonts w:asciiTheme="minorHAnsi" w:hAnsiTheme="minorHAnsi"/>
          <w:sz w:val="20"/>
        </w:rPr>
      </w:pPr>
    </w:p>
    <w:p w:rsidR="008A14D2" w:rsidRDefault="002A63C4" w:rsidP="00B374FE">
      <w:pPr>
        <w:rPr>
          <w:rFonts w:asciiTheme="minorHAnsi" w:hAnsiTheme="minorHAnsi"/>
          <w:sz w:val="20"/>
        </w:rPr>
      </w:pPr>
      <w:r w:rsidRPr="00952975">
        <w:rPr>
          <w:rFonts w:asciiTheme="minorHAnsi" w:hAnsiTheme="minorHAnsi"/>
          <w:noProof/>
          <w:lang w:val="en-US"/>
        </w:rPr>
        <w:pict>
          <v:roundrect id="_x0000_s1048" style="position:absolute;margin-left:1.5pt;margin-top:3.85pt;width:150.55pt;height:23.4pt;z-index:-251654144" arcsize="10923f">
            <v:shadow on="t" offset="3pt" offset2="2pt"/>
            <v:textbox>
              <w:txbxContent>
                <w:p w:rsidR="00B374FE" w:rsidRPr="00B374FE" w:rsidRDefault="009F2E1F">
                  <w:pPr>
                    <w:rPr>
                      <w:rFonts w:asciiTheme="minorHAnsi" w:hAnsiTheme="minorHAnsi"/>
                    </w:rPr>
                  </w:pPr>
                  <w:r>
                    <w:rPr>
                      <w:rFonts w:asciiTheme="minorHAnsi" w:hAnsiTheme="minorHAnsi"/>
                    </w:rPr>
                    <w:t>TARGET AUDIENCE</w:t>
                  </w:r>
                </w:p>
              </w:txbxContent>
            </v:textbox>
          </v:roundrect>
        </w:pict>
      </w:r>
    </w:p>
    <w:p w:rsidR="009F2E1F" w:rsidRDefault="009F2E1F" w:rsidP="00B374FE">
      <w:pPr>
        <w:rPr>
          <w:rFonts w:asciiTheme="minorHAnsi" w:hAnsiTheme="minorHAnsi"/>
          <w:sz w:val="20"/>
        </w:rPr>
      </w:pPr>
    </w:p>
    <w:p w:rsidR="002A63C4" w:rsidRDefault="002A63C4" w:rsidP="00B374FE">
      <w:pPr>
        <w:rPr>
          <w:rFonts w:asciiTheme="minorHAnsi" w:hAnsiTheme="minorHAnsi"/>
          <w:sz w:val="20"/>
        </w:rPr>
      </w:pPr>
    </w:p>
    <w:p w:rsidR="002A63C4" w:rsidRPr="002A63C4" w:rsidRDefault="002A63C4" w:rsidP="002A63C4">
      <w:pPr>
        <w:pStyle w:val="ListParagraph"/>
        <w:numPr>
          <w:ilvl w:val="0"/>
          <w:numId w:val="17"/>
        </w:numPr>
        <w:spacing w:after="0" w:line="240" w:lineRule="auto"/>
        <w:ind w:left="274" w:hanging="274"/>
        <w:rPr>
          <w:rFonts w:asciiTheme="minorHAnsi" w:hAnsiTheme="minorHAnsi"/>
          <w:sz w:val="20"/>
        </w:rPr>
      </w:pPr>
      <w:r w:rsidRPr="002A63C4">
        <w:rPr>
          <w:rFonts w:asciiTheme="minorHAnsi" w:hAnsiTheme="minorHAnsi"/>
          <w:sz w:val="20"/>
        </w:rPr>
        <w:t>Board Directors, CEOs, CFOs and Senior Management Personnel</w:t>
      </w:r>
    </w:p>
    <w:p w:rsidR="002A63C4" w:rsidRPr="002A63C4" w:rsidRDefault="002A63C4" w:rsidP="002A63C4">
      <w:pPr>
        <w:pStyle w:val="ListParagraph"/>
        <w:numPr>
          <w:ilvl w:val="0"/>
          <w:numId w:val="17"/>
        </w:numPr>
        <w:spacing w:after="0" w:line="240" w:lineRule="auto"/>
        <w:ind w:left="274" w:hanging="274"/>
        <w:rPr>
          <w:rFonts w:asciiTheme="minorHAnsi" w:hAnsiTheme="minorHAnsi"/>
          <w:sz w:val="20"/>
        </w:rPr>
      </w:pPr>
      <w:r w:rsidRPr="002A63C4">
        <w:rPr>
          <w:rFonts w:asciiTheme="minorHAnsi" w:hAnsiTheme="minorHAnsi"/>
          <w:sz w:val="20"/>
        </w:rPr>
        <w:t>Investor Relations Officers and Company Secretaries</w:t>
      </w:r>
    </w:p>
    <w:p w:rsidR="009F2E1F" w:rsidRPr="002A63C4" w:rsidRDefault="002A63C4" w:rsidP="002A63C4">
      <w:pPr>
        <w:pStyle w:val="ListParagraph"/>
        <w:numPr>
          <w:ilvl w:val="0"/>
          <w:numId w:val="17"/>
        </w:numPr>
        <w:spacing w:after="0" w:line="240" w:lineRule="auto"/>
        <w:ind w:left="274" w:hanging="274"/>
        <w:rPr>
          <w:rFonts w:asciiTheme="minorHAnsi" w:hAnsiTheme="minorHAnsi"/>
          <w:sz w:val="20"/>
        </w:rPr>
      </w:pPr>
      <w:r w:rsidRPr="002A63C4">
        <w:rPr>
          <w:rFonts w:asciiTheme="minorHAnsi" w:hAnsiTheme="minorHAnsi"/>
          <w:sz w:val="20"/>
        </w:rPr>
        <w:t>Existing and potential equity investors and other stakeholders</w:t>
      </w:r>
    </w:p>
    <w:p w:rsidR="002A63C4" w:rsidRDefault="002A63C4">
      <w:pPr>
        <w:rPr>
          <w:rFonts w:asciiTheme="minorHAnsi" w:hAnsiTheme="minorHAnsi"/>
          <w:sz w:val="20"/>
        </w:rPr>
      </w:pPr>
    </w:p>
    <w:p w:rsidR="009F2E1F" w:rsidRDefault="00952975">
      <w:pPr>
        <w:rPr>
          <w:rFonts w:asciiTheme="minorHAnsi" w:hAnsiTheme="minorHAnsi"/>
        </w:rPr>
      </w:pPr>
      <w:r>
        <w:rPr>
          <w:rFonts w:asciiTheme="minorHAnsi" w:hAnsiTheme="minorHAnsi"/>
          <w:noProof/>
          <w:lang w:val="en-US"/>
        </w:rPr>
        <w:pict>
          <v:roundrect id="_x0000_s1051" style="position:absolute;margin-left:1.5pt;margin-top:3.8pt;width:150.55pt;height:23.4pt;z-index:-251651072"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374FE" w:rsidRDefault="00B374FE">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CE7717" w:rsidP="00204A3F">
            <w:pPr>
              <w:ind w:right="308"/>
              <w:rPr>
                <w:rFonts w:asciiTheme="minorHAnsi" w:hAnsiTheme="minorHAnsi" w:cs="Segoe UI Semibold"/>
                <w:sz w:val="20"/>
              </w:rPr>
            </w:pPr>
            <w:r>
              <w:rPr>
                <w:rFonts w:asciiTheme="minorHAnsi" w:hAnsiTheme="minorHAnsi" w:cs="Segoe UI Semibold"/>
                <w:sz w:val="20"/>
              </w:rPr>
              <w:t>08</w:t>
            </w:r>
            <w:r>
              <w:rPr>
                <w:rFonts w:asciiTheme="minorHAnsi" w:hAnsiTheme="minorHAnsi" w:cs="Segoe UI Semibold"/>
                <w:sz w:val="20"/>
                <w:vertAlign w:val="superscript"/>
              </w:rPr>
              <w:t xml:space="preserve">th </w:t>
            </w:r>
            <w:r>
              <w:rPr>
                <w:rFonts w:asciiTheme="minorHAnsi" w:hAnsiTheme="minorHAnsi" w:cs="Segoe UI Semibold"/>
                <w:sz w:val="20"/>
              </w:rPr>
              <w:t>June 2017</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B374FE" w:rsidP="00B374FE">
            <w:pPr>
              <w:ind w:right="308"/>
              <w:jc w:val="both"/>
              <w:rPr>
                <w:rFonts w:asciiTheme="minorHAnsi" w:hAnsiTheme="minorHAnsi" w:cs="Segoe UI Semibold"/>
                <w:sz w:val="20"/>
              </w:rPr>
            </w:pPr>
            <w:r>
              <w:rPr>
                <w:rFonts w:asciiTheme="minorHAnsi" w:hAnsiTheme="minorHAnsi" w:cs="Segoe UI Semibold"/>
                <w:sz w:val="20"/>
              </w:rPr>
              <w:t>Half-day</w:t>
            </w:r>
            <w:r w:rsidR="00192589">
              <w:rPr>
                <w:rFonts w:asciiTheme="minorHAnsi" w:hAnsiTheme="minorHAnsi" w:cs="Segoe UI Semibold"/>
                <w:sz w:val="20"/>
              </w:rPr>
              <w:t xml:space="preserve"> </w:t>
            </w:r>
            <w:r>
              <w:rPr>
                <w:rFonts w:asciiTheme="minorHAnsi" w:hAnsiTheme="minorHAnsi" w:cs="Segoe UI Semibold"/>
                <w:sz w:val="20"/>
              </w:rPr>
              <w:t>(</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403F1F" w:rsidP="009F2E1F">
            <w:pPr>
              <w:ind w:right="308"/>
              <w:jc w:val="both"/>
              <w:rPr>
                <w:rFonts w:asciiTheme="minorHAnsi" w:hAnsiTheme="minorHAnsi" w:cs="Segoe UI Semibold"/>
                <w:sz w:val="20"/>
              </w:rPr>
            </w:pPr>
            <w:r>
              <w:rPr>
                <w:rFonts w:asciiTheme="minorHAnsi" w:hAnsiTheme="minorHAnsi" w:cs="Segoe UI Semibold"/>
                <w:sz w:val="20"/>
              </w:rPr>
              <w:t>Hilton Petaling Jaya</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192589">
            <w:pPr>
              <w:ind w:right="308"/>
              <w:rPr>
                <w:rFonts w:asciiTheme="minorHAnsi" w:hAnsiTheme="minorHAnsi" w:cs="Segoe UI Semibold"/>
                <w:sz w:val="20"/>
              </w:rPr>
            </w:pPr>
            <w:r w:rsidRPr="00D90843">
              <w:rPr>
                <w:rFonts w:asciiTheme="minorHAnsi" w:hAnsiTheme="minorHAnsi" w:cs="Segoe UI Semibold"/>
                <w:sz w:val="20"/>
              </w:rPr>
              <w:t>RM</w:t>
            </w:r>
            <w:r w:rsidR="001969FF">
              <w:rPr>
                <w:rFonts w:asciiTheme="minorHAnsi" w:hAnsiTheme="minorHAnsi" w:cs="Segoe UI Semibold"/>
                <w:sz w:val="20"/>
              </w:rPr>
              <w:t>932</w:t>
            </w:r>
            <w:r w:rsidRPr="00D90843">
              <w:rPr>
                <w:rFonts w:asciiTheme="minorHAnsi" w:hAnsiTheme="minorHAnsi" w:cs="Segoe UI Semibold"/>
                <w:sz w:val="20"/>
              </w:rPr>
              <w:t>.</w:t>
            </w:r>
            <w:r w:rsidR="001969FF">
              <w:rPr>
                <w:rFonts w:asciiTheme="minorHAnsi" w:hAnsiTheme="minorHAnsi" w:cs="Segoe UI Semibold"/>
                <w:sz w:val="20"/>
              </w:rPr>
              <w:t>8</w:t>
            </w:r>
            <w:r w:rsidRPr="00D90843">
              <w:rPr>
                <w:rFonts w:asciiTheme="minorHAnsi" w:hAnsiTheme="minorHAnsi" w:cs="Segoe UI Semibold"/>
                <w:sz w:val="20"/>
              </w:rPr>
              <w:t>0</w:t>
            </w:r>
            <w:r w:rsidR="00192589">
              <w:rPr>
                <w:rFonts w:asciiTheme="minorHAnsi" w:hAnsiTheme="minorHAnsi" w:cs="Segoe UI Semibold"/>
                <w:sz w:val="20"/>
              </w:rPr>
              <w:t xml:space="preserve"> </w:t>
            </w:r>
            <w:r w:rsidRPr="00D90843">
              <w:rPr>
                <w:rFonts w:asciiTheme="minorHAnsi" w:hAnsiTheme="minorHAnsi" w:cs="Segoe UI Semibold"/>
                <w:bCs/>
                <w:sz w:val="20"/>
              </w:rPr>
              <w:t>(</w:t>
            </w:r>
            <w:r w:rsidR="00403F1F">
              <w:rPr>
                <w:rFonts w:asciiTheme="minorHAnsi" w:hAnsiTheme="minorHAnsi" w:cs="Segoe UI Semibold"/>
                <w:bCs/>
                <w:sz w:val="20"/>
              </w:rPr>
              <w:t xml:space="preserve">inclusive </w:t>
            </w:r>
            <w:r w:rsidR="00C97D66">
              <w:rPr>
                <w:rFonts w:asciiTheme="minorHAnsi" w:hAnsiTheme="minorHAnsi" w:cs="Segoe UI Semibold"/>
                <w:bCs/>
                <w:sz w:val="20"/>
              </w:rPr>
              <w:t>of</w:t>
            </w:r>
            <w:r w:rsidR="00403F1F">
              <w:rPr>
                <w:rFonts w:asciiTheme="minorHAnsi" w:hAnsiTheme="minorHAnsi" w:cs="Segoe UI Semibold"/>
                <w:bCs/>
                <w:sz w:val="20"/>
              </w:rPr>
              <w:t xml:space="preserve"> </w:t>
            </w:r>
            <w:r w:rsidR="000D57B6" w:rsidRPr="000D57B6">
              <w:rPr>
                <w:rFonts w:asciiTheme="minorHAnsi" w:hAnsiTheme="minorHAnsi" w:cs="Segoe UI Semibold"/>
                <w:bCs/>
                <w:sz w:val="20"/>
              </w:rPr>
              <w:t>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952975">
      <w:pPr>
        <w:rPr>
          <w:rFonts w:asciiTheme="minorHAnsi" w:hAnsiTheme="minorHAnsi"/>
        </w:rPr>
      </w:pPr>
      <w:r>
        <w:rPr>
          <w:rFonts w:asciiTheme="minorHAnsi" w:hAnsiTheme="minorHAnsi"/>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40" type="#_x0000_t185" style="position:absolute;margin-left:-3.65pt;margin-top:9.05pt;width:253.6pt;height:78.35pt;z-index:-251567104" filled="t" fillcolor="#ffb9b9">
            <v:fill opacity="29491f"/>
            <v:textbox>
              <w:txbxContent>
                <w:p w:rsidR="0036426E" w:rsidRPr="00BC0460" w:rsidRDefault="0036426E" w:rsidP="0036426E">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36426E" w:rsidRDefault="0036426E" w:rsidP="0036426E"/>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952975">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42" type="#_x0000_t176" style="position:absolute;margin-left:87.2pt;margin-top:7.45pt;width:1in;height:55.85pt;z-index:251750400;v-text-anchor:middle" fillcolor="black" strokecolor="#f2f2f2" strokeweight="3pt">
            <v:shadow on="t" type="perspective" color="#7f7f7f" opacity=".5" offset="1pt" offset2="-1pt"/>
            <v:textbox>
              <w:txbxContent>
                <w:p w:rsidR="00192589" w:rsidRPr="00B37990" w:rsidRDefault="00192589" w:rsidP="00192589">
                  <w:pPr>
                    <w:contextualSpacing/>
                    <w:jc w:val="center"/>
                    <w:rPr>
                      <w:rFonts w:ascii="Century Gothic" w:hAnsi="Century Gothic"/>
                      <w:b/>
                      <w:color w:val="FFFFFF"/>
                    </w:rPr>
                  </w:pPr>
                  <w:r>
                    <w:rPr>
                      <w:rFonts w:ascii="Century Gothic" w:hAnsi="Century Gothic"/>
                      <w:b/>
                      <w:color w:val="FFFFFF"/>
                    </w:rPr>
                    <w:t>4</w:t>
                  </w:r>
                  <w:r w:rsidRPr="00B37990">
                    <w:rPr>
                      <w:rFonts w:ascii="Century Gothic" w:hAnsi="Century Gothic"/>
                      <w:b/>
                      <w:color w:val="FFFFFF"/>
                    </w:rPr>
                    <w:t xml:space="preserve"> CEP </w:t>
                  </w:r>
                  <w:r>
                    <w:rPr>
                      <w:rFonts w:ascii="Century Gothic" w:hAnsi="Century Gothic"/>
                      <w:b/>
                      <w:color w:val="FFFFFF"/>
                    </w:rPr>
                    <w:t>POINTS</w:t>
                  </w:r>
                </w:p>
              </w:txbxContent>
            </v:textbox>
          </v:shape>
        </w:pict>
      </w:r>
    </w:p>
    <w:p w:rsidR="00F83557" w:rsidRDefault="00F83557">
      <w:pPr>
        <w:rPr>
          <w:rFonts w:asciiTheme="minorHAnsi" w:hAnsiTheme="minorHAnsi"/>
        </w:rPr>
      </w:pPr>
    </w:p>
    <w:p w:rsidR="00F83557" w:rsidRDefault="00F83557">
      <w:pPr>
        <w:rPr>
          <w:rFonts w:asciiTheme="minorHAnsi" w:hAnsiTheme="minorHAnsi"/>
        </w:rPr>
      </w:pPr>
    </w:p>
    <w:p w:rsidR="00F83557" w:rsidRDefault="00F83557">
      <w:pPr>
        <w:rPr>
          <w:rFonts w:asciiTheme="minorHAnsi" w:hAnsiTheme="minorHAnsi"/>
        </w:rPr>
      </w:pPr>
    </w:p>
    <w:p w:rsidR="001969FF" w:rsidRDefault="001969FF">
      <w:pPr>
        <w:rPr>
          <w:rFonts w:asciiTheme="minorHAnsi" w:hAnsiTheme="minorHAnsi"/>
        </w:rPr>
      </w:pPr>
    </w:p>
    <w:p w:rsidR="008A14D2" w:rsidRDefault="008A14D2">
      <w:pPr>
        <w:rPr>
          <w:rFonts w:asciiTheme="minorHAnsi" w:hAnsiTheme="minorHAnsi"/>
        </w:rPr>
      </w:pPr>
    </w:p>
    <w:p w:rsidR="008A14D2" w:rsidRDefault="008A14D2">
      <w:pPr>
        <w:rPr>
          <w:rFonts w:asciiTheme="minorHAnsi" w:hAnsiTheme="minorHAnsi"/>
        </w:rPr>
      </w:pPr>
    </w:p>
    <w:p w:rsidR="008A14D2" w:rsidRDefault="008A14D2">
      <w:pPr>
        <w:rPr>
          <w:rFonts w:asciiTheme="minorHAnsi" w:hAnsiTheme="minorHAnsi"/>
        </w:rPr>
      </w:pPr>
    </w:p>
    <w:p w:rsidR="008A14D2" w:rsidRDefault="008A14D2">
      <w:pPr>
        <w:rPr>
          <w:rFonts w:asciiTheme="minorHAnsi" w:hAnsiTheme="minorHAnsi"/>
        </w:rPr>
      </w:pPr>
    </w:p>
    <w:p w:rsidR="008A14D2" w:rsidRDefault="008A14D2">
      <w:pPr>
        <w:rPr>
          <w:rFonts w:asciiTheme="minorHAnsi" w:hAnsiTheme="minorHAnsi"/>
        </w:rPr>
      </w:pPr>
    </w:p>
    <w:p w:rsidR="00CE7717" w:rsidRDefault="00CE7717">
      <w:pPr>
        <w:rPr>
          <w:rFonts w:asciiTheme="minorHAnsi" w:hAnsiTheme="minorHAnsi"/>
        </w:rPr>
      </w:pPr>
    </w:p>
    <w:p w:rsidR="001969FF" w:rsidRDefault="001969FF">
      <w:pPr>
        <w:rPr>
          <w:rFonts w:asciiTheme="minorHAnsi" w:hAnsiTheme="minorHAnsi"/>
        </w:rPr>
      </w:pPr>
    </w:p>
    <w:p w:rsidR="008A14D2" w:rsidRPr="00B26841" w:rsidRDefault="008A14D2">
      <w:pPr>
        <w:rPr>
          <w:rFonts w:asciiTheme="minorHAnsi" w:hAnsiTheme="minorHAnsi"/>
        </w:rPr>
        <w:sectPr w:rsidR="008A14D2" w:rsidRPr="00B26841" w:rsidSect="00086C2F">
          <w:type w:val="continuous"/>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3F6F40" w:rsidRDefault="003F6F40"/>
    <w:p w:rsidR="00BC0460" w:rsidRDefault="00BC0460" w:rsidP="00BC0460">
      <w:pPr>
        <w:ind w:left="-709"/>
        <w:rPr>
          <w:rFonts w:asciiTheme="minorHAnsi" w:hAnsiTheme="minorHAnsi"/>
        </w:rPr>
        <w:sectPr w:rsidR="00BC0460" w:rsidSect="00086C2F">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BC0460" w:rsidRDefault="00BC0460" w:rsidP="00BC0460">
      <w:pPr>
        <w:jc w:val="both"/>
        <w:rPr>
          <w:rFonts w:asciiTheme="minorHAnsi" w:hAnsiTheme="minorHAnsi"/>
          <w:sz w:val="20"/>
        </w:rPr>
        <w:sectPr w:rsidR="00BC0460" w:rsidSect="00086C2F">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num="2" w:space="284"/>
          <w:titlePg/>
          <w:docGrid w:linePitch="299"/>
        </w:sectPr>
      </w:pPr>
    </w:p>
    <w:p w:rsidR="001969FF" w:rsidRDefault="001969FF" w:rsidP="00D90843">
      <w:pPr>
        <w:rPr>
          <w:rFonts w:asciiTheme="minorHAnsi" w:hAnsiTheme="minorHAnsi"/>
        </w:rPr>
        <w:sectPr w:rsidR="001969FF" w:rsidSect="00086C2F">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284"/>
          <w:titlePg/>
          <w:docGrid w:linePitch="299"/>
        </w:sectPr>
      </w:pPr>
    </w:p>
    <w:p w:rsidR="00D90843" w:rsidRDefault="00D90843">
      <w:pPr>
        <w:sectPr w:rsidR="00D90843" w:rsidSect="00086C2F">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num="2" w:space="284"/>
          <w:titlePg/>
          <w:docGrid w:linePitch="299"/>
        </w:sectPr>
      </w:pPr>
    </w:p>
    <w:p w:rsidR="00342A8B" w:rsidRDefault="00342A8B" w:rsidP="008A14D2">
      <w:pPr>
        <w:rPr>
          <w:rFonts w:asciiTheme="majorHAnsi" w:hAnsiTheme="majorHAnsi"/>
          <w:sz w:val="28"/>
          <w:szCs w:val="28"/>
          <w:u w:val="single"/>
        </w:rPr>
      </w:pPr>
    </w:p>
    <w:p w:rsidR="00F83557" w:rsidRDefault="00F83557" w:rsidP="00D925F9">
      <w:pPr>
        <w:rPr>
          <w:rFonts w:asciiTheme="majorHAnsi" w:hAnsiTheme="majorHAnsi"/>
          <w:sz w:val="28"/>
          <w:szCs w:val="28"/>
          <w:u w:val="single"/>
        </w:rPr>
      </w:pPr>
    </w:p>
    <w:p w:rsidR="00342A8B" w:rsidRDefault="00952975" w:rsidP="00086C2F">
      <w:pPr>
        <w:ind w:left="360"/>
        <w:rPr>
          <w:rFonts w:asciiTheme="majorHAnsi" w:hAnsiTheme="majorHAnsi"/>
          <w:sz w:val="28"/>
          <w:szCs w:val="28"/>
          <w:u w:val="single"/>
        </w:rPr>
      </w:pPr>
      <w:r w:rsidRPr="00952975">
        <w:rPr>
          <w:rFonts w:asciiTheme="minorHAnsi" w:hAnsiTheme="minorHAnsi"/>
          <w:noProof/>
          <w:lang w:val="en-US"/>
        </w:rPr>
        <w:pict>
          <v:roundrect id="_x0000_s1052" style="position:absolute;left:0;text-align:left;margin-left:13.3pt;margin-top:-8.05pt;width:150.55pt;height:23.4pt;z-index:-251650048" arcsize="10923f">
            <v:shadow on="t" offset="3pt" offset2="2pt"/>
            <v:textbox>
              <w:txbxContent>
                <w:p w:rsidR="00BC0460" w:rsidRPr="00D925F9" w:rsidRDefault="00D925F9">
                  <w:pPr>
                    <w:rPr>
                      <w:rFonts w:asciiTheme="minorHAnsi" w:hAnsiTheme="minorHAnsi"/>
                    </w:rPr>
                  </w:pPr>
                  <w:r w:rsidRPr="00D925F9">
                    <w:rPr>
                      <w:rFonts w:asciiTheme="minorHAnsi" w:hAnsiTheme="minorHAnsi"/>
                    </w:rPr>
                    <w:t>SPEAKER’S PROFILE</w:t>
                  </w:r>
                </w:p>
              </w:txbxContent>
            </v:textbox>
          </v:roundrect>
        </w:pict>
      </w:r>
    </w:p>
    <w:p w:rsidR="00D925F9" w:rsidRDefault="00D925F9" w:rsidP="00D925F9">
      <w:pPr>
        <w:rPr>
          <w:rFonts w:asciiTheme="majorHAnsi" w:hAnsiTheme="majorHAnsi"/>
          <w:sz w:val="28"/>
          <w:szCs w:val="28"/>
          <w:u w:val="single"/>
        </w:rPr>
      </w:pP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1980"/>
        <w:gridCol w:w="6316"/>
        <w:gridCol w:w="720"/>
      </w:tblGrid>
      <w:tr w:rsidR="00204A3F" w:rsidRPr="00B36090" w:rsidTr="00086C2F">
        <w:trPr>
          <w:gridBefore w:val="1"/>
          <w:wBefore w:w="720" w:type="dxa"/>
        </w:trPr>
        <w:tc>
          <w:tcPr>
            <w:tcW w:w="1980" w:type="dxa"/>
          </w:tcPr>
          <w:p w:rsidR="00204A3F" w:rsidRDefault="00204A3F" w:rsidP="006F0DD1">
            <w:r>
              <w:rPr>
                <w:b/>
                <w:noProof/>
                <w:lang w:val="en-US"/>
              </w:rPr>
              <w:drawing>
                <wp:inline distT="0" distB="0" distL="0" distR="0">
                  <wp:extent cx="800100" cy="1143000"/>
                  <wp:effectExtent l="0" t="0" r="0" b="0"/>
                  <wp:docPr id="1" name="Picture 2" descr="C:\Users\User\Documents\BROCHURES(2016)\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ROCHURES(2016)\images.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1143000"/>
                          </a:xfrm>
                          <a:prstGeom prst="rect">
                            <a:avLst/>
                          </a:prstGeom>
                          <a:noFill/>
                          <a:ln>
                            <a:noFill/>
                          </a:ln>
                        </pic:spPr>
                      </pic:pic>
                    </a:graphicData>
                  </a:graphic>
                </wp:inline>
              </w:drawing>
            </w:r>
          </w:p>
        </w:tc>
        <w:tc>
          <w:tcPr>
            <w:tcW w:w="7036" w:type="dxa"/>
            <w:gridSpan w:val="2"/>
            <w:vAlign w:val="center"/>
          </w:tcPr>
          <w:p w:rsidR="00204A3F" w:rsidRPr="00B36090" w:rsidRDefault="00204A3F" w:rsidP="006F0DD1">
            <w:pPr>
              <w:rPr>
                <w:rFonts w:ascii="Segoe UI Semibold" w:hAnsi="Segoe UI Semibold" w:cs="Segoe UI Semilight"/>
                <w:b/>
                <w:sz w:val="24"/>
              </w:rPr>
            </w:pPr>
            <w:r w:rsidRPr="00B36090">
              <w:rPr>
                <w:rFonts w:ascii="Segoe UI Semibold" w:hAnsi="Segoe UI Semibold" w:cs="Segoe UI Semilight"/>
                <w:b/>
                <w:sz w:val="24"/>
              </w:rPr>
              <w:t>CHONG CHEE FERN</w:t>
            </w:r>
          </w:p>
          <w:p w:rsidR="00204A3F" w:rsidRPr="00B36090" w:rsidRDefault="00204A3F" w:rsidP="006F0DD1">
            <w:pPr>
              <w:rPr>
                <w:rFonts w:ascii="Segoe UI Semilight" w:hAnsi="Segoe UI Semilight" w:cs="Segoe UI Semilight"/>
                <w:b/>
              </w:rPr>
            </w:pPr>
            <w:r w:rsidRPr="00B36090">
              <w:rPr>
                <w:rFonts w:ascii="Segoe UI Semibold" w:hAnsi="Segoe UI Semibold"/>
                <w:b/>
              </w:rPr>
              <w:t xml:space="preserve">B. Econs. (Accounting), </w:t>
            </w:r>
            <w:r w:rsidRPr="00B36090">
              <w:rPr>
                <w:rFonts w:ascii="Segoe UI Semibold" w:hAnsi="Segoe UI Semibold" w:cs="Segoe UI Semilight"/>
                <w:b/>
              </w:rPr>
              <w:t>University of Malaya</w:t>
            </w:r>
          </w:p>
        </w:tc>
      </w:tr>
      <w:tr w:rsidR="00204A3F" w:rsidRPr="00DF6A64" w:rsidTr="00086C2F">
        <w:trPr>
          <w:gridAfter w:val="1"/>
          <w:wAfter w:w="720" w:type="dxa"/>
        </w:trPr>
        <w:tc>
          <w:tcPr>
            <w:tcW w:w="9016" w:type="dxa"/>
            <w:gridSpan w:val="3"/>
          </w:tcPr>
          <w:p w:rsidR="00204A3F" w:rsidRPr="00DF6A64" w:rsidRDefault="00204A3F" w:rsidP="006F0DD1">
            <w:pPr>
              <w:rPr>
                <w:rFonts w:asciiTheme="majorHAnsi" w:hAnsiTheme="majorHAnsi"/>
              </w:rPr>
            </w:pPr>
          </w:p>
        </w:tc>
      </w:tr>
      <w:tr w:rsidR="00204A3F" w:rsidRPr="00852D08" w:rsidTr="00086C2F">
        <w:trPr>
          <w:gridAfter w:val="1"/>
          <w:wAfter w:w="720" w:type="dxa"/>
        </w:trPr>
        <w:tc>
          <w:tcPr>
            <w:tcW w:w="9016" w:type="dxa"/>
            <w:gridSpan w:val="3"/>
          </w:tcPr>
          <w:p w:rsidR="00204A3F" w:rsidRPr="00852D08" w:rsidRDefault="00204A3F" w:rsidP="00086C2F">
            <w:pPr>
              <w:spacing w:line="276" w:lineRule="auto"/>
              <w:ind w:left="360"/>
              <w:jc w:val="both"/>
              <w:rPr>
                <w:rFonts w:asciiTheme="minorHAnsi" w:hAnsiTheme="minorHAnsi" w:cstheme="minorHAnsi"/>
                <w:szCs w:val="22"/>
              </w:rPr>
            </w:pPr>
            <w:r w:rsidRPr="00086C2F">
              <w:rPr>
                <w:rFonts w:asciiTheme="minorHAnsi" w:hAnsiTheme="minorHAnsi" w:cstheme="minorHAnsi"/>
                <w:b/>
                <w:bCs/>
                <w:szCs w:val="22"/>
              </w:rPr>
              <w:t>Mr. Chong</w:t>
            </w:r>
            <w:r w:rsidRPr="00852D08">
              <w:rPr>
                <w:rFonts w:asciiTheme="minorHAnsi" w:hAnsiTheme="minorHAnsi" w:cstheme="minorHAnsi"/>
                <w:szCs w:val="22"/>
              </w:rPr>
              <w:t xml:space="preserve">, a Chartered Accountant registered with the Malaysian Institute of Accountants, holds a B. Econs. (Accounting) (2nd Class Upper Hons.) Degree and a Postgraduate Dip. In Accounting, both from University of Malaya. He is also a holder of the Certified Financial Planner (CFP) qualification and has vast experience in banking and capital market with many years of exposures in internal audit, corporate planning, investor relations, risk management, monitoring of public listed companies and corporate governance. He was the former General Manager, Corporate Monitoring in Minority Shareholder Watchdog Group (MSWG) where his job responsibilities entailed mainly supervising the monitoring of selected public listed companies, complaints and MSWG’s newsletters and the annual surveys for the Malaysian Corporate Governance Index. </w:t>
            </w:r>
          </w:p>
          <w:p w:rsidR="00204A3F" w:rsidRPr="00852D08" w:rsidRDefault="00204A3F" w:rsidP="006F0DD1">
            <w:pPr>
              <w:rPr>
                <w:rFonts w:asciiTheme="minorHAnsi" w:hAnsiTheme="minorHAnsi" w:cstheme="minorHAnsi"/>
                <w:b/>
                <w:szCs w:val="22"/>
              </w:rPr>
            </w:pPr>
          </w:p>
          <w:p w:rsidR="00204A3F" w:rsidRPr="00852D08" w:rsidRDefault="00204A3F" w:rsidP="00086C2F">
            <w:pPr>
              <w:spacing w:line="276" w:lineRule="auto"/>
              <w:ind w:left="360"/>
              <w:jc w:val="both"/>
              <w:rPr>
                <w:rFonts w:asciiTheme="minorHAnsi" w:hAnsiTheme="minorHAnsi" w:cstheme="minorHAnsi"/>
                <w:szCs w:val="22"/>
              </w:rPr>
            </w:pPr>
            <w:r w:rsidRPr="00086C2F">
              <w:rPr>
                <w:rFonts w:asciiTheme="minorHAnsi" w:hAnsiTheme="minorHAnsi" w:cstheme="minorHAnsi"/>
                <w:b/>
                <w:bCs/>
                <w:szCs w:val="22"/>
              </w:rPr>
              <w:t>Mr. Chong</w:t>
            </w:r>
            <w:r w:rsidRPr="00852D08">
              <w:rPr>
                <w:rFonts w:asciiTheme="minorHAnsi" w:hAnsiTheme="minorHAnsi" w:cstheme="minorHAnsi"/>
                <w:szCs w:val="22"/>
              </w:rPr>
              <w:t xml:space="preserve"> had delivered several talks and participated in speaking engagements, seminars and forums encompassing corporate governance, internal audit, capital market issues, audit expectation gap and how corporate reporting could meet investors’ needs. He is also an HRDF certified trainer. He had many years of experience in Bank Negara Malaysia, involved in supervising financial institutions and preparation of the Bank’s annual report and budget. His attachment with a large international shipping corporation had also enriched his experience in the areas of finance, corporate planning and investor relations. He had worked with international consultants in the business transformation programme and also for many years was responsible for drafting the Chairman’s Statement and Managing Director’s Report for the corporation’s Annual Report. He had served in various positions in an investment bank with experience mainly in internal auditing and risk management.</w:t>
            </w: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szCs w:val="22"/>
              </w:rPr>
            </w:pPr>
          </w:p>
        </w:tc>
      </w:tr>
    </w:tbl>
    <w:p w:rsidR="00D925F9" w:rsidRDefault="00D925F9" w:rsidP="00D925F9">
      <w:pPr>
        <w:rPr>
          <w:rFonts w:asciiTheme="majorHAnsi" w:hAnsiTheme="majorHAnsi"/>
          <w:sz w:val="28"/>
          <w:szCs w:val="28"/>
          <w:u w:val="single"/>
        </w:rPr>
      </w:pPr>
    </w:p>
    <w:p w:rsidR="00204A3F" w:rsidRDefault="00204A3F" w:rsidP="00D925F9">
      <w:pPr>
        <w:rPr>
          <w:rFonts w:asciiTheme="majorHAnsi" w:hAnsiTheme="majorHAnsi"/>
          <w:sz w:val="28"/>
          <w:szCs w:val="28"/>
          <w:u w:val="single"/>
        </w:rPr>
      </w:pPr>
    </w:p>
    <w:p w:rsidR="00204A3F" w:rsidRDefault="00204A3F" w:rsidP="00D925F9">
      <w:pPr>
        <w:rPr>
          <w:rFonts w:asciiTheme="majorHAnsi" w:hAnsiTheme="majorHAnsi"/>
          <w:sz w:val="28"/>
          <w:szCs w:val="28"/>
          <w:u w:val="single"/>
        </w:rPr>
      </w:pPr>
    </w:p>
    <w:p w:rsidR="00204A3F" w:rsidRDefault="00204A3F" w:rsidP="00D925F9">
      <w:pPr>
        <w:rPr>
          <w:rFonts w:asciiTheme="majorHAnsi" w:hAnsiTheme="majorHAnsi"/>
          <w:sz w:val="28"/>
          <w:szCs w:val="28"/>
          <w:u w:val="single"/>
        </w:rPr>
      </w:pPr>
    </w:p>
    <w:p w:rsidR="00086C2F" w:rsidRDefault="00086C2F"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4E6547" w:rsidRDefault="004E6547"/>
    <w:p w:rsidR="000D57B6" w:rsidRDefault="00952975" w:rsidP="00D926B0">
      <w:pPr>
        <w:jc w:val="center"/>
        <w:rPr>
          <w:rFonts w:asciiTheme="minorHAnsi" w:hAnsiTheme="minorHAnsi"/>
          <w:sz w:val="24"/>
          <w:szCs w:val="24"/>
        </w:rPr>
      </w:pPr>
      <w:sdt>
        <w:sdtPr>
          <w:rPr>
            <w:rFonts w:asciiTheme="majorHAnsi" w:eastAsiaTheme="majorEastAsia" w:hAnsiTheme="majorHAnsi" w:cstheme="majorBidi"/>
            <w:b/>
            <w:bCs/>
            <w:color w:val="365F91" w:themeColor="accent1" w:themeShade="BF"/>
            <w:sz w:val="36"/>
            <w:szCs w:val="36"/>
          </w:rPr>
          <w:alias w:val="Title"/>
          <w:id w:val="320084082"/>
          <w:placeholder>
            <w:docPart w:val="94D76159A6C24B9F8697CD769F752D42"/>
          </w:placeholder>
          <w:dataBinding w:prefixMappings="xmlns:ns0='http://purl.org/dc/elements/1.1/' xmlns:ns1='http://schemas.openxmlformats.org/package/2006/metadata/core-properties' " w:xpath="/ns1:coreProperties[1]/ns0:title[1]" w:storeItemID="{6C3C8BC8-F283-45AE-878A-BAB7291924A1}"/>
          <w:text/>
        </w:sdtPr>
        <w:sdtContent>
          <w:r w:rsidR="008C1592">
            <w:rPr>
              <w:rFonts w:asciiTheme="majorHAnsi" w:eastAsiaTheme="majorEastAsia" w:hAnsiTheme="majorHAnsi" w:cstheme="majorBidi"/>
              <w:b/>
              <w:bCs/>
              <w:color w:val="365F91" w:themeColor="accent1" w:themeShade="BF"/>
              <w:sz w:val="36"/>
              <w:szCs w:val="36"/>
              <w:lang w:val="en-MY"/>
            </w:rPr>
            <w:t>ENHANCING SHAREHOLDER VALUE – WHAT, HOW? Performance, Management Quality, Corporate Exercises, Shareholder Activists’ Demands</w:t>
          </w:r>
        </w:sdtContent>
      </w:sdt>
      <w:r w:rsidR="006807E9">
        <w:rPr>
          <w:rFonts w:asciiTheme="minorHAnsi" w:hAnsiTheme="minorHAnsi"/>
          <w:sz w:val="24"/>
          <w:szCs w:val="24"/>
        </w:rPr>
        <w:br/>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p>
    <w:p w:rsidR="004E6547" w:rsidRDefault="004E6547"/>
    <w:p w:rsidR="00E76169" w:rsidRPr="00086C2F" w:rsidRDefault="00952975">
      <w:pPr>
        <w:rPr>
          <w:rFonts w:asciiTheme="minorHAnsi" w:hAnsiTheme="minorHAnsi"/>
          <w:b/>
          <w:bCs/>
          <w:i/>
          <w:iCs/>
          <w:sz w:val="24"/>
          <w:szCs w:val="24"/>
        </w:rPr>
      </w:pPr>
      <w:r w:rsidRPr="00952975">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CE7717">
        <w:rPr>
          <w:rFonts w:asciiTheme="minorHAnsi" w:hAnsiTheme="minorHAnsi"/>
          <w:sz w:val="24"/>
          <w:szCs w:val="24"/>
        </w:rPr>
        <w:t xml:space="preserve">Event </w:t>
      </w:r>
      <w:r w:rsidR="004E6547">
        <w:rPr>
          <w:rFonts w:asciiTheme="minorHAnsi" w:hAnsiTheme="minorHAnsi"/>
          <w:sz w:val="24"/>
          <w:szCs w:val="24"/>
        </w:rPr>
        <w:t>date:</w:t>
      </w:r>
    </w:p>
    <w:p w:rsidR="004E6547" w:rsidRPr="00086C2F" w:rsidRDefault="004E6547">
      <w:pPr>
        <w:rPr>
          <w:rFonts w:asciiTheme="minorHAnsi" w:hAnsiTheme="minorHAnsi" w:cstheme="minorHAnsi"/>
          <w:sz w:val="24"/>
          <w:szCs w:val="24"/>
        </w:rPr>
      </w:pPr>
    </w:p>
    <w:tbl>
      <w:tblPr>
        <w:tblStyle w:val="ColorfulShading-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8"/>
        <w:gridCol w:w="1518"/>
        <w:gridCol w:w="1848"/>
        <w:gridCol w:w="1849"/>
        <w:gridCol w:w="1849"/>
      </w:tblGrid>
      <w:tr w:rsidR="00086C2F" w:rsidTr="00CE7717">
        <w:trPr>
          <w:cnfStyle w:val="100000000000"/>
          <w:trHeight w:val="432"/>
        </w:trPr>
        <w:tc>
          <w:tcPr>
            <w:cnfStyle w:val="001000000100"/>
            <w:tcW w:w="2178" w:type="dxa"/>
            <w:tcBorders>
              <w:top w:val="none" w:sz="0" w:space="0" w:color="auto"/>
              <w:left w:val="none" w:sz="0" w:space="0" w:color="auto"/>
              <w:bottom w:val="none" w:sz="0" w:space="0" w:color="auto"/>
              <w:right w:val="none" w:sz="0" w:space="0" w:color="auto"/>
            </w:tcBorders>
          </w:tcPr>
          <w:p w:rsidR="00086C2F" w:rsidRDefault="00086C2F" w:rsidP="00CE7717">
            <w:pPr>
              <w:pStyle w:val="Heading2"/>
              <w:jc w:val="left"/>
              <w:outlineLvl w:val="1"/>
              <w:rPr>
                <w:rFonts w:asciiTheme="minorHAnsi" w:hAnsiTheme="minorHAnsi" w:cstheme="minorHAnsi"/>
                <w:szCs w:val="24"/>
              </w:rPr>
            </w:pPr>
            <w:r>
              <w:rPr>
                <w:rFonts w:asciiTheme="minorHAnsi" w:hAnsiTheme="minorHAnsi" w:cstheme="minorHAnsi"/>
                <w:szCs w:val="24"/>
              </w:rPr>
              <w:sym w:font="Wingdings 2" w:char="F0A3"/>
            </w:r>
            <w:r>
              <w:rPr>
                <w:rFonts w:asciiTheme="minorHAnsi" w:hAnsiTheme="minorHAnsi" w:cstheme="minorHAnsi"/>
                <w:szCs w:val="24"/>
              </w:rPr>
              <w:t xml:space="preserve">  </w:t>
            </w:r>
            <w:r w:rsidR="00CE7717">
              <w:rPr>
                <w:rFonts w:asciiTheme="minorHAnsi" w:hAnsiTheme="minorHAnsi" w:cstheme="minorHAnsi"/>
                <w:szCs w:val="24"/>
              </w:rPr>
              <w:t>08</w:t>
            </w:r>
            <w:r w:rsidR="00CE7717" w:rsidRPr="00CE7717">
              <w:rPr>
                <w:rFonts w:asciiTheme="minorHAnsi" w:hAnsiTheme="minorHAnsi" w:cstheme="minorHAnsi"/>
                <w:szCs w:val="24"/>
                <w:vertAlign w:val="superscript"/>
              </w:rPr>
              <w:t>th</w:t>
            </w:r>
            <w:r w:rsidR="00CE7717">
              <w:rPr>
                <w:rFonts w:asciiTheme="minorHAnsi" w:hAnsiTheme="minorHAnsi" w:cstheme="minorHAnsi"/>
                <w:szCs w:val="24"/>
              </w:rPr>
              <w:t xml:space="preserve"> JUNE 2017</w:t>
            </w:r>
          </w:p>
        </w:tc>
        <w:tc>
          <w:tcPr>
            <w:tcW w:w="1518" w:type="dxa"/>
            <w:tcBorders>
              <w:top w:val="none" w:sz="0" w:space="0" w:color="auto"/>
              <w:left w:val="none" w:sz="0" w:space="0" w:color="auto"/>
              <w:bottom w:val="none" w:sz="0" w:space="0" w:color="auto"/>
              <w:right w:val="none" w:sz="0" w:space="0" w:color="auto"/>
            </w:tcBorders>
          </w:tcPr>
          <w:p w:rsidR="00086C2F" w:rsidRDefault="00086C2F" w:rsidP="00086C2F">
            <w:pPr>
              <w:pStyle w:val="Heading2"/>
              <w:jc w:val="left"/>
              <w:outlineLvl w:val="1"/>
              <w:cnfStyle w:val="100000000000"/>
              <w:rPr>
                <w:rFonts w:asciiTheme="minorHAnsi" w:hAnsiTheme="minorHAnsi" w:cstheme="minorHAnsi"/>
                <w:szCs w:val="24"/>
              </w:rPr>
            </w:pPr>
          </w:p>
        </w:tc>
        <w:tc>
          <w:tcPr>
            <w:tcW w:w="1848" w:type="dxa"/>
            <w:tcBorders>
              <w:top w:val="none" w:sz="0" w:space="0" w:color="auto"/>
              <w:left w:val="none" w:sz="0" w:space="0" w:color="auto"/>
              <w:bottom w:val="none" w:sz="0" w:space="0" w:color="auto"/>
              <w:right w:val="none" w:sz="0" w:space="0" w:color="auto"/>
            </w:tcBorders>
          </w:tcPr>
          <w:p w:rsidR="00086C2F" w:rsidRDefault="00086C2F" w:rsidP="00086C2F">
            <w:pPr>
              <w:pStyle w:val="Heading2"/>
              <w:jc w:val="left"/>
              <w:outlineLvl w:val="1"/>
              <w:cnfStyle w:val="100000000000"/>
              <w:rPr>
                <w:rFonts w:asciiTheme="minorHAnsi" w:hAnsiTheme="minorHAnsi" w:cstheme="minorHAnsi"/>
                <w:szCs w:val="24"/>
              </w:rPr>
            </w:pPr>
          </w:p>
        </w:tc>
        <w:tc>
          <w:tcPr>
            <w:tcW w:w="1849" w:type="dxa"/>
            <w:tcBorders>
              <w:top w:val="none" w:sz="0" w:space="0" w:color="auto"/>
              <w:left w:val="none" w:sz="0" w:space="0" w:color="auto"/>
              <w:bottom w:val="none" w:sz="0" w:space="0" w:color="auto"/>
              <w:right w:val="none" w:sz="0" w:space="0" w:color="auto"/>
            </w:tcBorders>
          </w:tcPr>
          <w:p w:rsidR="00086C2F" w:rsidRDefault="00086C2F" w:rsidP="00086C2F">
            <w:pPr>
              <w:pStyle w:val="Heading2"/>
              <w:jc w:val="left"/>
              <w:outlineLvl w:val="1"/>
              <w:cnfStyle w:val="100000000000"/>
              <w:rPr>
                <w:rFonts w:asciiTheme="minorHAnsi" w:hAnsiTheme="minorHAnsi" w:cstheme="minorHAnsi"/>
                <w:szCs w:val="24"/>
              </w:rPr>
            </w:pPr>
          </w:p>
        </w:tc>
        <w:tc>
          <w:tcPr>
            <w:tcW w:w="1849" w:type="dxa"/>
            <w:tcBorders>
              <w:top w:val="none" w:sz="0" w:space="0" w:color="auto"/>
              <w:left w:val="none" w:sz="0" w:space="0" w:color="auto"/>
              <w:bottom w:val="none" w:sz="0" w:space="0" w:color="auto"/>
              <w:right w:val="none" w:sz="0" w:space="0" w:color="auto"/>
            </w:tcBorders>
          </w:tcPr>
          <w:p w:rsidR="00086C2F" w:rsidRDefault="00086C2F" w:rsidP="00086C2F">
            <w:pPr>
              <w:pStyle w:val="Heading2"/>
              <w:jc w:val="left"/>
              <w:outlineLvl w:val="1"/>
              <w:cnfStyle w:val="100000000000"/>
              <w:rPr>
                <w:rFonts w:asciiTheme="minorHAnsi" w:hAnsiTheme="minorHAnsi" w:cstheme="minorHAnsi"/>
                <w:szCs w:val="24"/>
              </w:rPr>
            </w:pPr>
          </w:p>
        </w:tc>
      </w:tr>
    </w:tbl>
    <w:p w:rsidR="004E6547" w:rsidRDefault="00952975" w:rsidP="00E76169">
      <w:pPr>
        <w:rPr>
          <w:rFonts w:asciiTheme="minorHAnsi" w:hAnsiTheme="minorHAnsi"/>
          <w:sz w:val="24"/>
          <w:szCs w:val="24"/>
        </w:rPr>
      </w:pPr>
      <w:r w:rsidRPr="00952975">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mso-position-horizontal-relative:text;mso-position-vertical-relative:text"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1969FF" w:rsidRDefault="00952975"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9F2E1F">
        <w:rPr>
          <w:rFonts w:asciiTheme="minorHAnsi" w:hAnsiTheme="minorHAnsi"/>
          <w:noProof/>
          <w:sz w:val="24"/>
          <w:szCs w:val="24"/>
          <w:lang w:val="en-US"/>
        </w:rPr>
        <w:t>sophiah</w:t>
      </w:r>
      <w:r w:rsidRPr="00E94F5F">
        <w:rPr>
          <w:rFonts w:asciiTheme="minorHAnsi" w:hAnsiTheme="minorHAnsi"/>
          <w:noProof/>
          <w:sz w:val="24"/>
          <w:szCs w:val="24"/>
          <w:lang w:val="en-US"/>
        </w:rPr>
        <w:t>@bursatra.com.my</w:t>
      </w:r>
    </w:p>
    <w:p w:rsidR="00F83557" w:rsidRDefault="00952975" w:rsidP="00E76169">
      <w:pPr>
        <w:jc w:val="center"/>
        <w:rPr>
          <w:rFonts w:asciiTheme="minorHAnsi" w:hAnsiTheme="minorHAnsi"/>
          <w:sz w:val="24"/>
          <w:szCs w:val="24"/>
        </w:rPr>
      </w:pPr>
      <w:r>
        <w:rPr>
          <w:rFonts w:asciiTheme="minorHAnsi" w:hAnsiTheme="minorHAnsi"/>
          <w:noProof/>
          <w:sz w:val="24"/>
          <w:szCs w:val="24"/>
          <w:lang w:val="en-US"/>
        </w:rPr>
        <w:pict>
          <v:shape id="_x0000_s1139" type="#_x0000_t185" style="position:absolute;left:0;text-align:left;margin-left:2.7pt;margin-top:9.05pt;width:460.8pt;height:53.05pt;z-index:-251568128" filled="t" fillcolor="#ffb9b9">
            <v:fill opacity="29491f"/>
            <v:textbox>
              <w:txbxContent>
                <w:p w:rsidR="00F83557" w:rsidRPr="00BC0460" w:rsidRDefault="00F83557" w:rsidP="00F83557">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83557" w:rsidRDefault="00F83557"/>
              </w:txbxContent>
            </v:textbox>
          </v:shape>
        </w:pict>
      </w:r>
    </w:p>
    <w:p w:rsidR="00F83557" w:rsidRDefault="00F83557" w:rsidP="00E76169">
      <w:pPr>
        <w:jc w:val="center"/>
        <w:rPr>
          <w:rFonts w:asciiTheme="minorHAnsi" w:hAnsiTheme="minorHAnsi"/>
          <w:sz w:val="24"/>
          <w:szCs w:val="24"/>
        </w:rPr>
      </w:pPr>
    </w:p>
    <w:p w:rsidR="00F83557" w:rsidRDefault="00F83557" w:rsidP="00E76169">
      <w:pPr>
        <w:jc w:val="center"/>
        <w:rPr>
          <w:rFonts w:asciiTheme="minorHAnsi" w:hAnsiTheme="minorHAnsi"/>
          <w:sz w:val="24"/>
          <w:szCs w:val="24"/>
        </w:rPr>
      </w:pPr>
    </w:p>
    <w:p w:rsidR="00E76169" w:rsidRDefault="00E76169" w:rsidP="00E76169">
      <w:pPr>
        <w:jc w:val="center"/>
        <w:rPr>
          <w:rFonts w:asciiTheme="minorHAnsi" w:hAnsiTheme="minorHAnsi"/>
          <w:sz w:val="24"/>
          <w:szCs w:val="24"/>
        </w:rPr>
      </w:pPr>
    </w:p>
    <w:p w:rsidR="00086C2F" w:rsidRDefault="00086C2F" w:rsidP="00E76169">
      <w:pPr>
        <w:jc w:val="center"/>
        <w:rPr>
          <w:rFonts w:asciiTheme="minorHAnsi" w:hAnsiTheme="minorHAnsi"/>
          <w:sz w:val="24"/>
          <w:szCs w:val="24"/>
        </w:rPr>
      </w:pPr>
    </w:p>
    <w:p w:rsidR="00F83557" w:rsidRPr="0036426E" w:rsidRDefault="0036426E" w:rsidP="00E76169">
      <w:pPr>
        <w:jc w:val="center"/>
        <w:rPr>
          <w:rFonts w:asciiTheme="minorHAnsi" w:hAnsiTheme="minorHAnsi"/>
          <w:i/>
          <w:iCs/>
          <w:sz w:val="20"/>
        </w:rPr>
      </w:pPr>
      <w:r w:rsidRPr="0036426E">
        <w:rPr>
          <w:rFonts w:asciiTheme="minorHAnsi" w:hAnsiTheme="minorHAnsi"/>
          <w:i/>
          <w:iCs/>
          <w:sz w:val="20"/>
        </w:rPr>
        <w:t>BURSATRA SDN BHD IS A REGISTERED TRAINING PROVIDER WITH PSMB (Reg. No: 520353-U)</w:t>
      </w:r>
    </w:p>
    <w:sectPr w:rsidR="00F83557" w:rsidRPr="0036426E" w:rsidSect="00086C2F">
      <w:type w:val="continuous"/>
      <w:pgSz w:w="11906" w:h="16838" w:code="9"/>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012" w:rsidRDefault="00773012">
      <w:r>
        <w:separator/>
      </w:r>
    </w:p>
  </w:endnote>
  <w:endnote w:type="continuationSeparator" w:id="1">
    <w:p w:rsidR="00773012" w:rsidRDefault="007730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012" w:rsidRDefault="00773012">
      <w:r>
        <w:separator/>
      </w:r>
    </w:p>
  </w:footnote>
  <w:footnote w:type="continuationSeparator" w:id="1">
    <w:p w:rsidR="00773012" w:rsidRDefault="007730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95297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952975" w:rsidP="00C24690">
    <w:pPr>
      <w:pStyle w:val="Heading5"/>
      <w:ind w:left="-810" w:hanging="90"/>
      <w:rPr>
        <w:rFonts w:ascii="Century Gothic" w:hAnsi="Century Gothic"/>
        <w:i w:val="0"/>
        <w:iCs/>
        <w:sz w:val="24"/>
        <w:szCs w:val="24"/>
      </w:rPr>
    </w:pPr>
    <w:r w:rsidRPr="0095297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95297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1647"/>
    <w:multiLevelType w:val="hybridMultilevel"/>
    <w:tmpl w:val="ABF0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56B5C"/>
    <w:multiLevelType w:val="hybridMultilevel"/>
    <w:tmpl w:val="E5DC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180A3F"/>
    <w:multiLevelType w:val="hybridMultilevel"/>
    <w:tmpl w:val="881E874E"/>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1213CE"/>
    <w:multiLevelType w:val="hybridMultilevel"/>
    <w:tmpl w:val="5EC64AB4"/>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86625C"/>
    <w:multiLevelType w:val="hybridMultilevel"/>
    <w:tmpl w:val="49F0D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B71D6"/>
    <w:multiLevelType w:val="hybridMultilevel"/>
    <w:tmpl w:val="C524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C31BC"/>
    <w:multiLevelType w:val="hybridMultilevel"/>
    <w:tmpl w:val="609CC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5"/>
  </w:num>
  <w:num w:numId="3">
    <w:abstractNumId w:val="15"/>
  </w:num>
  <w:num w:numId="4">
    <w:abstractNumId w:val="9"/>
  </w:num>
  <w:num w:numId="5">
    <w:abstractNumId w:val="1"/>
  </w:num>
  <w:num w:numId="6">
    <w:abstractNumId w:val="14"/>
  </w:num>
  <w:num w:numId="7">
    <w:abstractNumId w:val="6"/>
  </w:num>
  <w:num w:numId="8">
    <w:abstractNumId w:val="4"/>
  </w:num>
  <w:num w:numId="9">
    <w:abstractNumId w:val="3"/>
  </w:num>
  <w:num w:numId="10">
    <w:abstractNumId w:val="0"/>
  </w:num>
  <w:num w:numId="11">
    <w:abstractNumId w:val="13"/>
  </w:num>
  <w:num w:numId="12">
    <w:abstractNumId w:val="7"/>
  </w:num>
  <w:num w:numId="13">
    <w:abstractNumId w:val="10"/>
  </w:num>
  <w:num w:numId="14">
    <w:abstractNumId w:val="8"/>
  </w:num>
  <w:num w:numId="15">
    <w:abstractNumId w:val="11"/>
  </w:num>
  <w:num w:numId="16">
    <w:abstractNumId w:val="2"/>
  </w:num>
  <w:num w:numId="17">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39938">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86C2F"/>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89"/>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1F4086"/>
    <w:rsid w:val="00203871"/>
    <w:rsid w:val="00204A3F"/>
    <w:rsid w:val="00204BB5"/>
    <w:rsid w:val="002056C2"/>
    <w:rsid w:val="00214F22"/>
    <w:rsid w:val="00216333"/>
    <w:rsid w:val="0022291C"/>
    <w:rsid w:val="00223866"/>
    <w:rsid w:val="00234B22"/>
    <w:rsid w:val="0024105E"/>
    <w:rsid w:val="002473F6"/>
    <w:rsid w:val="002513A9"/>
    <w:rsid w:val="00254A86"/>
    <w:rsid w:val="00257F18"/>
    <w:rsid w:val="002615DC"/>
    <w:rsid w:val="00261F6C"/>
    <w:rsid w:val="00263515"/>
    <w:rsid w:val="0027004C"/>
    <w:rsid w:val="00271DB0"/>
    <w:rsid w:val="00273912"/>
    <w:rsid w:val="00275ABC"/>
    <w:rsid w:val="002847B9"/>
    <w:rsid w:val="00285033"/>
    <w:rsid w:val="002858FE"/>
    <w:rsid w:val="0028704E"/>
    <w:rsid w:val="002922F8"/>
    <w:rsid w:val="00292CBC"/>
    <w:rsid w:val="00294201"/>
    <w:rsid w:val="00294AB9"/>
    <w:rsid w:val="002960C2"/>
    <w:rsid w:val="002963BA"/>
    <w:rsid w:val="00296D32"/>
    <w:rsid w:val="002A2C29"/>
    <w:rsid w:val="002A4F34"/>
    <w:rsid w:val="002A63C4"/>
    <w:rsid w:val="002B2C67"/>
    <w:rsid w:val="002C286F"/>
    <w:rsid w:val="002D152D"/>
    <w:rsid w:val="002D40CE"/>
    <w:rsid w:val="002D76A9"/>
    <w:rsid w:val="002E6DF0"/>
    <w:rsid w:val="002E6DF1"/>
    <w:rsid w:val="002F32AA"/>
    <w:rsid w:val="002F629E"/>
    <w:rsid w:val="002F679A"/>
    <w:rsid w:val="003215CC"/>
    <w:rsid w:val="00323457"/>
    <w:rsid w:val="003300F6"/>
    <w:rsid w:val="003324DF"/>
    <w:rsid w:val="00336392"/>
    <w:rsid w:val="0034120C"/>
    <w:rsid w:val="00342A8B"/>
    <w:rsid w:val="00350723"/>
    <w:rsid w:val="0035263B"/>
    <w:rsid w:val="0036426E"/>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A7E8F"/>
    <w:rsid w:val="003B0F4B"/>
    <w:rsid w:val="003B3940"/>
    <w:rsid w:val="003B49DF"/>
    <w:rsid w:val="003C4202"/>
    <w:rsid w:val="003C6209"/>
    <w:rsid w:val="003E086B"/>
    <w:rsid w:val="003E2AB7"/>
    <w:rsid w:val="003F3712"/>
    <w:rsid w:val="003F38C1"/>
    <w:rsid w:val="003F41F3"/>
    <w:rsid w:val="003F681A"/>
    <w:rsid w:val="003F6F40"/>
    <w:rsid w:val="003F7192"/>
    <w:rsid w:val="004032DA"/>
    <w:rsid w:val="00403F1F"/>
    <w:rsid w:val="0040695E"/>
    <w:rsid w:val="00410606"/>
    <w:rsid w:val="00410B3A"/>
    <w:rsid w:val="00414805"/>
    <w:rsid w:val="004318A3"/>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779AB"/>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2DFF"/>
    <w:rsid w:val="005F558A"/>
    <w:rsid w:val="00600FF7"/>
    <w:rsid w:val="00602845"/>
    <w:rsid w:val="006046A5"/>
    <w:rsid w:val="0060789A"/>
    <w:rsid w:val="00615775"/>
    <w:rsid w:val="006224C3"/>
    <w:rsid w:val="006238E6"/>
    <w:rsid w:val="006265D7"/>
    <w:rsid w:val="00626ECB"/>
    <w:rsid w:val="00626F3F"/>
    <w:rsid w:val="00627A2B"/>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AB3"/>
    <w:rsid w:val="006A1CE8"/>
    <w:rsid w:val="006A299A"/>
    <w:rsid w:val="006B11CB"/>
    <w:rsid w:val="006C21AD"/>
    <w:rsid w:val="006C3FD2"/>
    <w:rsid w:val="006C5CB2"/>
    <w:rsid w:val="006D77A2"/>
    <w:rsid w:val="006E2F0B"/>
    <w:rsid w:val="006F5FAE"/>
    <w:rsid w:val="00700815"/>
    <w:rsid w:val="0070458F"/>
    <w:rsid w:val="007063EE"/>
    <w:rsid w:val="00706FF6"/>
    <w:rsid w:val="007137FB"/>
    <w:rsid w:val="007158D1"/>
    <w:rsid w:val="00722C3F"/>
    <w:rsid w:val="00726DBB"/>
    <w:rsid w:val="0074177E"/>
    <w:rsid w:val="00742723"/>
    <w:rsid w:val="007466BC"/>
    <w:rsid w:val="00754601"/>
    <w:rsid w:val="00764168"/>
    <w:rsid w:val="00773012"/>
    <w:rsid w:val="00782EDD"/>
    <w:rsid w:val="00784BD4"/>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14D2"/>
    <w:rsid w:val="008A36B4"/>
    <w:rsid w:val="008A7D0C"/>
    <w:rsid w:val="008B4B1E"/>
    <w:rsid w:val="008B4D1B"/>
    <w:rsid w:val="008C1592"/>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356FF"/>
    <w:rsid w:val="00941FC5"/>
    <w:rsid w:val="00942F12"/>
    <w:rsid w:val="009449AE"/>
    <w:rsid w:val="00945885"/>
    <w:rsid w:val="00950305"/>
    <w:rsid w:val="0095297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77BF"/>
    <w:rsid w:val="009F2E1F"/>
    <w:rsid w:val="00A00F25"/>
    <w:rsid w:val="00A01F70"/>
    <w:rsid w:val="00A06B10"/>
    <w:rsid w:val="00A13919"/>
    <w:rsid w:val="00A142F0"/>
    <w:rsid w:val="00A2356C"/>
    <w:rsid w:val="00A26477"/>
    <w:rsid w:val="00A5263F"/>
    <w:rsid w:val="00A612A4"/>
    <w:rsid w:val="00A63428"/>
    <w:rsid w:val="00A63981"/>
    <w:rsid w:val="00A72244"/>
    <w:rsid w:val="00A72AB9"/>
    <w:rsid w:val="00A76FF2"/>
    <w:rsid w:val="00A80B58"/>
    <w:rsid w:val="00A875B6"/>
    <w:rsid w:val="00A900AF"/>
    <w:rsid w:val="00A91344"/>
    <w:rsid w:val="00A9173B"/>
    <w:rsid w:val="00A96EDC"/>
    <w:rsid w:val="00AA73B2"/>
    <w:rsid w:val="00AB2E66"/>
    <w:rsid w:val="00AC523C"/>
    <w:rsid w:val="00AD7636"/>
    <w:rsid w:val="00AE16FE"/>
    <w:rsid w:val="00AE3449"/>
    <w:rsid w:val="00AE744D"/>
    <w:rsid w:val="00AF24EB"/>
    <w:rsid w:val="00AF519B"/>
    <w:rsid w:val="00B0380D"/>
    <w:rsid w:val="00B0436C"/>
    <w:rsid w:val="00B04AC7"/>
    <w:rsid w:val="00B1028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E7717"/>
    <w:rsid w:val="00CF1225"/>
    <w:rsid w:val="00CF4841"/>
    <w:rsid w:val="00CF66D4"/>
    <w:rsid w:val="00CF77E7"/>
    <w:rsid w:val="00D047FC"/>
    <w:rsid w:val="00D078B6"/>
    <w:rsid w:val="00D12851"/>
    <w:rsid w:val="00D14DD8"/>
    <w:rsid w:val="00D1570F"/>
    <w:rsid w:val="00D2799C"/>
    <w:rsid w:val="00D34E2C"/>
    <w:rsid w:val="00D35263"/>
    <w:rsid w:val="00D36AC3"/>
    <w:rsid w:val="00D40D8D"/>
    <w:rsid w:val="00D55B69"/>
    <w:rsid w:val="00D56F3F"/>
    <w:rsid w:val="00D571E5"/>
    <w:rsid w:val="00D67CB4"/>
    <w:rsid w:val="00D70262"/>
    <w:rsid w:val="00D72D6F"/>
    <w:rsid w:val="00D83D4E"/>
    <w:rsid w:val="00D90843"/>
    <w:rsid w:val="00D925F9"/>
    <w:rsid w:val="00D926B0"/>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3B79"/>
    <w:rsid w:val="00F062B9"/>
    <w:rsid w:val="00F0747F"/>
    <w:rsid w:val="00F0780A"/>
    <w:rsid w:val="00F16120"/>
    <w:rsid w:val="00F22FCA"/>
    <w:rsid w:val="00F2770A"/>
    <w:rsid w:val="00F32E93"/>
    <w:rsid w:val="00F330C6"/>
    <w:rsid w:val="00F3567C"/>
    <w:rsid w:val="00F379E6"/>
    <w:rsid w:val="00F411EB"/>
    <w:rsid w:val="00F45285"/>
    <w:rsid w:val="00F61AFD"/>
    <w:rsid w:val="00F624FF"/>
    <w:rsid w:val="00F629C8"/>
    <w:rsid w:val="00F647A1"/>
    <w:rsid w:val="00F656CB"/>
    <w:rsid w:val="00F66E17"/>
    <w:rsid w:val="00F70863"/>
    <w:rsid w:val="00F7475B"/>
    <w:rsid w:val="00F77EBC"/>
    <w:rsid w:val="00F83557"/>
    <w:rsid w:val="00F8399C"/>
    <w:rsid w:val="00F91A35"/>
    <w:rsid w:val="00F928D5"/>
    <w:rsid w:val="00F96AA8"/>
    <w:rsid w:val="00FA01A1"/>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table" w:styleId="TableGrid">
    <w:name w:val="Table Grid"/>
    <w:basedOn w:val="TableNormal"/>
    <w:uiPriority w:val="39"/>
    <w:rsid w:val="00204A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List-Accent5">
    <w:name w:val="Colorful List Accent 5"/>
    <w:basedOn w:val="TableNormal"/>
    <w:uiPriority w:val="72"/>
    <w:rsid w:val="00086C2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Shading-Accent5">
    <w:name w:val="Colorful Shading Accent 5"/>
    <w:basedOn w:val="TableNormal"/>
    <w:uiPriority w:val="71"/>
    <w:rsid w:val="00086C2F"/>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PlaceholderText">
    <w:name w:val="Placeholder Text"/>
    <w:basedOn w:val="DefaultParagraphFont"/>
    <w:uiPriority w:val="99"/>
    <w:semiHidden/>
    <w:rsid w:val="008C1592"/>
    <w:rPr>
      <w:color w:val="808080"/>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D0E89B2EC54A3FBB9A4F13C6D72E12"/>
        <w:category>
          <w:name w:val="General"/>
          <w:gallery w:val="placeholder"/>
        </w:category>
        <w:types>
          <w:type w:val="bbPlcHdr"/>
        </w:types>
        <w:behaviors>
          <w:behavior w:val="content"/>
        </w:behaviors>
        <w:guid w:val="{05512238-D782-4FA3-B6AF-999336BB68A5}"/>
      </w:docPartPr>
      <w:docPartBody>
        <w:p w:rsidR="00FB311D" w:rsidRDefault="009878F9">
          <w:r w:rsidRPr="00D5144F">
            <w:rPr>
              <w:rStyle w:val="PlaceholderText"/>
            </w:rPr>
            <w:t>[Title]</w:t>
          </w:r>
        </w:p>
      </w:docPartBody>
    </w:docPart>
    <w:docPart>
      <w:docPartPr>
        <w:name w:val="94D76159A6C24B9F8697CD769F752D42"/>
        <w:category>
          <w:name w:val="General"/>
          <w:gallery w:val="placeholder"/>
        </w:category>
        <w:types>
          <w:type w:val="bbPlcHdr"/>
        </w:types>
        <w:behaviors>
          <w:behavior w:val="content"/>
        </w:behaviors>
        <w:guid w:val="{CB8A5E6E-42B2-49D5-842D-BAB41BC969DF}"/>
      </w:docPartPr>
      <w:docPartBody>
        <w:p w:rsidR="00FB311D" w:rsidRDefault="009878F9">
          <w:r w:rsidRPr="00D5144F">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878F9"/>
    <w:rsid w:val="008225FD"/>
    <w:rsid w:val="009878F9"/>
    <w:rsid w:val="00FB311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11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8F9"/>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18669-9351-426A-8595-8BCC82E3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5179</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SHAREHOLDER VALUE – WHAT, HOW? Performance, Management Quality, Corporate Exercises, Shareholder Activists’ Demands</dc:title>
  <dc:creator>Azlan</dc:creator>
  <cp:lastModifiedBy>hp</cp:lastModifiedBy>
  <cp:revision>5</cp:revision>
  <cp:lastPrinted>2017-01-11T16:34:00Z</cp:lastPrinted>
  <dcterms:created xsi:type="dcterms:W3CDTF">2017-01-14T18:44:00Z</dcterms:created>
  <dcterms:modified xsi:type="dcterms:W3CDTF">2017-01-14T19:04:00Z</dcterms:modified>
  <cp:category>CGBP</cp:category>
</cp:coreProperties>
</file>